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7A5B9F">
            <w:pPr>
              <w:ind w:right="282"/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7A5B9F">
            <w:pPr>
              <w:ind w:right="282"/>
              <w:jc w:val="right"/>
            </w:pPr>
          </w:p>
          <w:p w14:paraId="0233B7DB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7A5B9F">
            <w:pPr>
              <w:ind w:right="282"/>
              <w:jc w:val="right"/>
            </w:pPr>
          </w:p>
          <w:p w14:paraId="2E46184B" w14:textId="77777777" w:rsidR="0061710C" w:rsidRDefault="0061710C" w:rsidP="007A5B9F">
            <w:pPr>
              <w:ind w:right="282"/>
              <w:jc w:val="right"/>
            </w:pPr>
          </w:p>
          <w:p w14:paraId="2F5FAA98" w14:textId="77777777" w:rsidR="00CD4CF4" w:rsidRDefault="00CD4CF4" w:rsidP="007A5B9F">
            <w:pPr>
              <w:ind w:right="282"/>
              <w:jc w:val="right"/>
            </w:pPr>
          </w:p>
          <w:p w14:paraId="0420434B" w14:textId="77777777" w:rsidR="00CD4CF4" w:rsidRDefault="00CD4CF4" w:rsidP="007A5B9F">
            <w:pPr>
              <w:ind w:right="282"/>
              <w:jc w:val="right"/>
            </w:pPr>
          </w:p>
          <w:p w14:paraId="64C23EF4" w14:textId="77777777" w:rsidR="00CD4CF4" w:rsidRPr="008869D5" w:rsidRDefault="00CD4CF4" w:rsidP="007A5B9F">
            <w:pPr>
              <w:ind w:right="282"/>
              <w:jc w:val="right"/>
            </w:pPr>
          </w:p>
          <w:p w14:paraId="521ECAB3" w14:textId="77777777" w:rsidR="0061710C" w:rsidRPr="008869D5" w:rsidRDefault="0061710C" w:rsidP="007A5B9F">
            <w:pPr>
              <w:ind w:right="282"/>
              <w:jc w:val="right"/>
            </w:pPr>
          </w:p>
          <w:p w14:paraId="0253283C" w14:textId="77777777" w:rsidR="0061710C" w:rsidRPr="008869D5" w:rsidRDefault="0061710C" w:rsidP="007A5B9F">
            <w:pPr>
              <w:ind w:right="282"/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B1448DE" w:rsidR="007F065D" w:rsidRPr="007F065D" w:rsidRDefault="00F36441" w:rsidP="007A5B9F">
      <w:pPr>
        <w:ind w:right="282"/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E454A">
        <w:rPr>
          <w:b/>
          <w:bCs/>
          <w:sz w:val="40"/>
          <w:szCs w:val="40"/>
          <w:u w:val="single"/>
        </w:rPr>
        <w:t>3</w:t>
      </w:r>
      <w:r w:rsidR="001D2AB4">
        <w:rPr>
          <w:b/>
          <w:bCs/>
          <w:sz w:val="40"/>
          <w:szCs w:val="40"/>
          <w:u w:val="single"/>
        </w:rPr>
        <w:t>40</w:t>
      </w:r>
      <w:r w:rsidR="003908BA">
        <w:rPr>
          <w:b/>
          <w:bCs/>
          <w:sz w:val="40"/>
          <w:szCs w:val="40"/>
          <w:u w:val="single"/>
        </w:rPr>
        <w:t xml:space="preserve"> от </w:t>
      </w:r>
      <w:r w:rsidR="00A809F9">
        <w:rPr>
          <w:b/>
          <w:bCs/>
          <w:sz w:val="40"/>
          <w:szCs w:val="40"/>
          <w:u w:val="single"/>
        </w:rPr>
        <w:t>20</w:t>
      </w:r>
      <w:r w:rsidR="00ED65D8">
        <w:rPr>
          <w:b/>
          <w:bCs/>
          <w:sz w:val="40"/>
          <w:szCs w:val="40"/>
          <w:u w:val="single"/>
        </w:rPr>
        <w:t>.03</w:t>
      </w:r>
      <w:r w:rsidR="00794A4D">
        <w:rPr>
          <w:b/>
          <w:bCs/>
          <w:sz w:val="40"/>
          <w:szCs w:val="40"/>
          <w:u w:val="single"/>
        </w:rPr>
        <w:t>.202</w:t>
      </w:r>
      <w:r w:rsidR="004D27FD">
        <w:rPr>
          <w:b/>
          <w:bCs/>
          <w:sz w:val="40"/>
          <w:szCs w:val="40"/>
          <w:u w:val="single"/>
        </w:rPr>
        <w:t>6</w:t>
      </w:r>
    </w:p>
    <w:p w14:paraId="01DF6A8B" w14:textId="4F832133" w:rsidR="00290761" w:rsidRDefault="00ED65D8" w:rsidP="00ED65D8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ED65D8">
        <w:rPr>
          <w:b/>
          <w:bCs/>
          <w:sz w:val="36"/>
          <w:szCs w:val="36"/>
        </w:rPr>
        <w:t xml:space="preserve">аукциона в </w:t>
      </w:r>
      <w:r w:rsidR="001D2AB4" w:rsidRPr="00194431">
        <w:rPr>
          <w:b/>
          <w:bCs/>
          <w:sz w:val="36"/>
          <w:szCs w:val="36"/>
        </w:rPr>
        <w:t>электронной форме на право заключения договора на размещение нестационарного торгового объекта, в том числе объекта по оказанию услуг на территории города Твери в соответствии со Схемой НТО определен в отношении объектов развозной торговли</w:t>
      </w:r>
    </w:p>
    <w:p w14:paraId="4126FD32" w14:textId="77777777" w:rsidR="00F520C6" w:rsidRDefault="00F520C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27E03F8" w14:textId="77777777" w:rsidR="004A0A3F" w:rsidRDefault="004A0A3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D3C5359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E565D2A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AA7485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E8E81DF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C19539B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2A92412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D99A50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001A56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624475D" w:rsidR="00F36441" w:rsidRDefault="00F36441" w:rsidP="007A5B9F">
      <w:pPr>
        <w:ind w:right="282"/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ED65D8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Default="00503D2E" w:rsidP="00F36441">
      <w:pPr>
        <w:jc w:val="both"/>
        <w:rPr>
          <w:sz w:val="20"/>
          <w:szCs w:val="20"/>
        </w:rPr>
      </w:pPr>
    </w:p>
    <w:p w14:paraId="5B6F95D7" w14:textId="77777777" w:rsidR="001D2AB4" w:rsidRDefault="001D2AB4" w:rsidP="00F36441">
      <w:pPr>
        <w:jc w:val="both"/>
        <w:rPr>
          <w:sz w:val="20"/>
          <w:szCs w:val="20"/>
        </w:rPr>
      </w:pPr>
    </w:p>
    <w:p w14:paraId="0522D804" w14:textId="77777777" w:rsidR="001D2AB4" w:rsidRDefault="001D2AB4" w:rsidP="00F36441">
      <w:pPr>
        <w:jc w:val="both"/>
        <w:rPr>
          <w:sz w:val="20"/>
          <w:szCs w:val="20"/>
        </w:rPr>
      </w:pPr>
    </w:p>
    <w:p w14:paraId="52CD285F" w14:textId="77777777" w:rsidR="001D2AB4" w:rsidRDefault="001D2AB4" w:rsidP="00F36441">
      <w:pPr>
        <w:jc w:val="both"/>
        <w:rPr>
          <w:sz w:val="20"/>
          <w:szCs w:val="20"/>
        </w:rPr>
      </w:pPr>
    </w:p>
    <w:p w14:paraId="4DF0D06A" w14:textId="77777777" w:rsidR="001D2AB4" w:rsidRDefault="001D2AB4" w:rsidP="00F36441">
      <w:pPr>
        <w:jc w:val="both"/>
        <w:rPr>
          <w:sz w:val="20"/>
          <w:szCs w:val="20"/>
        </w:rPr>
      </w:pPr>
    </w:p>
    <w:p w14:paraId="64CDBBBA" w14:textId="77777777" w:rsidR="001D2AB4" w:rsidRDefault="001D2AB4" w:rsidP="00F36441">
      <w:pPr>
        <w:jc w:val="both"/>
        <w:rPr>
          <w:sz w:val="20"/>
          <w:szCs w:val="20"/>
        </w:rPr>
      </w:pPr>
    </w:p>
    <w:p w14:paraId="129B4E52" w14:textId="77777777" w:rsidR="001D2AB4" w:rsidRDefault="001D2AB4" w:rsidP="00F36441">
      <w:pPr>
        <w:jc w:val="both"/>
        <w:rPr>
          <w:sz w:val="20"/>
          <w:szCs w:val="20"/>
        </w:rPr>
      </w:pPr>
    </w:p>
    <w:p w14:paraId="1DDAB96A" w14:textId="77777777" w:rsidR="001D2AB4" w:rsidRDefault="001D2AB4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2929A4">
      <w:pPr>
        <w:pStyle w:val="3"/>
        <w:spacing w:before="0" w:beforeAutospacing="0" w:after="0" w:afterAutospacing="0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6E7F527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D27FD">
        <w:rPr>
          <w:sz w:val="20"/>
        </w:rPr>
        <w:t>6</w:t>
      </w:r>
    </w:p>
    <w:p w14:paraId="6E2AD181" w14:textId="571C8C10" w:rsidR="00637E0D" w:rsidRDefault="00506321" w:rsidP="00831757">
      <w:pPr>
        <w:ind w:right="282"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831757">
      <w:pPr>
        <w:ind w:right="282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831757">
      <w:pPr>
        <w:ind w:right="282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831757">
      <w:pPr>
        <w:ind w:right="282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831757">
      <w:pPr>
        <w:ind w:right="282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831757">
      <w:pPr>
        <w:autoSpaceDE w:val="0"/>
        <w:autoSpaceDN w:val="0"/>
        <w:adjustRightInd w:val="0"/>
        <w:ind w:right="282"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831757">
      <w:pPr>
        <w:ind w:right="282" w:firstLine="709"/>
        <w:jc w:val="both"/>
        <w:rPr>
          <w:sz w:val="20"/>
          <w:szCs w:val="20"/>
        </w:rPr>
      </w:pPr>
    </w:p>
    <w:p w14:paraId="20E47850" w14:textId="77777777" w:rsidR="00894F19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801"/>
        <w:gridCol w:w="7937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ED65D8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5D879651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proofErr w:type="spellStart"/>
            <w:r w:rsidR="00602E60">
              <w:rPr>
                <w:rFonts w:eastAsia="Calibri"/>
                <w:sz w:val="20"/>
                <w:szCs w:val="20"/>
              </w:rPr>
              <w:t>Шарабанова</w:t>
            </w:r>
            <w:proofErr w:type="spellEnd"/>
            <w:r w:rsidR="00602E60">
              <w:rPr>
                <w:rFonts w:eastAsia="Calibri"/>
                <w:sz w:val="20"/>
                <w:szCs w:val="20"/>
              </w:rPr>
              <w:t xml:space="preserve"> Любовь Викторовна</w:t>
            </w:r>
          </w:p>
          <w:p w14:paraId="16300D88" w14:textId="1BFDCDDB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602E60">
              <w:rPr>
                <w:rFonts w:eastAsia="Calibri"/>
                <w:sz w:val="20"/>
                <w:szCs w:val="20"/>
              </w:rPr>
              <w:t>19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04FC0B03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71730A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4ED24B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71730A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ED65D8">
        <w:trPr>
          <w:trHeight w:val="694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5A4F9C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A4F9C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5A4F9C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5A4F9C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5A4F9C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6B6C0" w14:textId="10FC8151" w:rsidR="00A809F9" w:rsidRPr="00A809F9" w:rsidRDefault="00A809F9" w:rsidP="00CE112A">
            <w:pPr>
              <w:jc w:val="both"/>
              <w:rPr>
                <w:b/>
                <w:sz w:val="20"/>
                <w:szCs w:val="20"/>
              </w:rPr>
            </w:pPr>
            <w:r w:rsidRPr="00A809F9">
              <w:rPr>
                <w:b/>
                <w:sz w:val="20"/>
                <w:szCs w:val="20"/>
              </w:rPr>
              <w:lastRenderedPageBreak/>
              <w:t xml:space="preserve">ЛОТ № 1 </w:t>
            </w:r>
            <w:r w:rsidR="0062076D" w:rsidRPr="0062076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объектов развозной торговли по адресам</w:t>
            </w:r>
            <w:r w:rsidRPr="00A809F9">
              <w:rPr>
                <w:b/>
                <w:sz w:val="20"/>
                <w:szCs w:val="20"/>
              </w:rPr>
              <w:t>:</w:t>
            </w:r>
            <w:r w:rsidRPr="00A809F9">
              <w:rPr>
                <w:sz w:val="20"/>
                <w:szCs w:val="20"/>
              </w:rPr>
              <w:t xml:space="preserve"> </w:t>
            </w:r>
            <w:r w:rsidRPr="00A809F9">
              <w:rPr>
                <w:b/>
                <w:bCs/>
                <w:sz w:val="20"/>
                <w:szCs w:val="20"/>
              </w:rPr>
              <w:t>город Тверь Петербургское шоссе, у дома 51, город Тверь, улица Бориса Полевого, у дома 19, город Тверь, проспект Чайковского, у дома 86</w:t>
            </w:r>
          </w:p>
          <w:p w14:paraId="0D3DD2DF" w14:textId="77777777" w:rsidR="00A809F9" w:rsidRPr="001F3B7F" w:rsidRDefault="00A809F9" w:rsidP="00A809F9">
            <w:pPr>
              <w:jc w:val="both"/>
              <w:rPr>
                <w:b/>
              </w:rPr>
            </w:pPr>
          </w:p>
          <w:tbl>
            <w:tblPr>
              <w:tblW w:w="762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4111"/>
            </w:tblGrid>
            <w:tr w:rsidR="00A809F9" w:rsidRPr="00A809F9" w14:paraId="549DE122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F76CD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Тип объекта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D5C62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автолавка</w:t>
                  </w:r>
                </w:p>
              </w:tc>
            </w:tr>
            <w:tr w:rsidR="00A809F9" w:rsidRPr="00A809F9" w14:paraId="7F5D67DB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C4C5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lastRenderedPageBreak/>
                    <w:t>Площадь объекта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39739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 xml:space="preserve">8 </w:t>
                  </w:r>
                  <w:proofErr w:type="spellStart"/>
                  <w:r w:rsidRPr="00A809F9">
                    <w:t>кв.м</w:t>
                  </w:r>
                  <w:proofErr w:type="spellEnd"/>
                </w:p>
              </w:tc>
            </w:tr>
            <w:tr w:rsidR="00A809F9" w:rsidRPr="00A809F9" w14:paraId="79B2B02E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62A08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 xml:space="preserve">Специализация объекта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736EC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 xml:space="preserve">продовольственные товары </w:t>
                  </w:r>
                </w:p>
              </w:tc>
            </w:tr>
            <w:tr w:rsidR="00A809F9" w:rsidRPr="00A809F9" w14:paraId="3DA5880F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DDA9B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Требования к объекту</w:t>
                  </w:r>
                </w:p>
                <w:p w14:paraId="2F585CED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CA29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наличие свидетельства на одобрение данного типа транспортного средства, выданного аккредитованным органом по сертификации, с указанием его принадлежности под автолавку.</w:t>
                  </w:r>
                </w:p>
                <w:p w14:paraId="35E56D79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 xml:space="preserve"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 </w:t>
                  </w:r>
                </w:p>
              </w:tc>
            </w:tr>
            <w:tr w:rsidR="00A809F9" w:rsidRPr="00A809F9" w14:paraId="6A1F411D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17DC5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2ABA2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с момента заключения договора по 20.05.2027</w:t>
                  </w:r>
                </w:p>
              </w:tc>
            </w:tr>
            <w:tr w:rsidR="00A809F9" w:rsidRPr="00A809F9" w14:paraId="63AC17C4" w14:textId="77777777" w:rsidTr="00A809F9">
              <w:tc>
                <w:tcPr>
                  <w:tcW w:w="7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1D884" w14:textId="77777777" w:rsidR="00A809F9" w:rsidRPr="00A809F9" w:rsidRDefault="00A809F9" w:rsidP="00A809F9">
                  <w:pPr>
                    <w:rPr>
                      <w:sz w:val="20"/>
                      <w:szCs w:val="20"/>
                    </w:rPr>
                  </w:pPr>
                  <w:r w:rsidRPr="00A809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A809F9" w:rsidRPr="00A809F9" w14:paraId="29F4DF18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8B5E9" w14:textId="77777777" w:rsidR="00A809F9" w:rsidRPr="00A809F9" w:rsidRDefault="00A809F9" w:rsidP="00A809F9">
                  <w:pPr>
                    <w:pStyle w:val="ConsPlusTitle"/>
                    <w:numPr>
                      <w:ilvl w:val="0"/>
                      <w:numId w:val="10"/>
                    </w:numPr>
                    <w:jc w:val="both"/>
                    <w:outlineLvl w:val="1"/>
                    <w:rPr>
                      <w:b w:val="0"/>
                      <w:sz w:val="20"/>
                    </w:rPr>
                  </w:pPr>
                  <w:r w:rsidRPr="00A809F9">
                    <w:rPr>
                      <w:rFonts w:ascii="Times New Roman" w:hAnsi="Times New Roman" w:cs="Times New Roman"/>
                      <w:b w:val="0"/>
                      <w:sz w:val="20"/>
                    </w:rPr>
                    <w:t>город Тверь Петербургское шоссе, у дома 51 (строка 28), раздел 2 Схема размещения объектов развозной торговли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78137" w14:textId="27953928" w:rsidR="00A809F9" w:rsidRPr="00A809F9" w:rsidRDefault="00A809F9" w:rsidP="00CE112A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97 825,81 руб</w:t>
                  </w:r>
                  <w:r w:rsidR="00CE112A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809F9" w:rsidRPr="00A809F9" w14:paraId="6BDD38E6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F5377" w14:textId="77777777" w:rsidR="00A809F9" w:rsidRPr="00A809F9" w:rsidRDefault="00A809F9" w:rsidP="00A809F9">
                  <w:pPr>
                    <w:pStyle w:val="ConsPlusTitle"/>
                    <w:numPr>
                      <w:ilvl w:val="0"/>
                      <w:numId w:val="10"/>
                    </w:numPr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A809F9">
                    <w:rPr>
                      <w:rFonts w:ascii="Times New Roman" w:hAnsi="Times New Roman" w:cs="Times New Roman"/>
                      <w:b w:val="0"/>
                      <w:sz w:val="20"/>
                    </w:rPr>
                    <w:t>город Тверь, улица Бориса Полевого, у дома 19 (строка 30), раздел 2 Схема размещения объектов развозной торговли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DB76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86 956,27 руб.</w:t>
                  </w:r>
                </w:p>
              </w:tc>
            </w:tr>
            <w:tr w:rsidR="00A809F9" w:rsidRPr="00A809F9" w14:paraId="43D1979D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CB349" w14:textId="77777777" w:rsidR="00A809F9" w:rsidRPr="00A809F9" w:rsidRDefault="00A809F9" w:rsidP="00A809F9">
                  <w:pPr>
                    <w:pStyle w:val="ConsPlusTitle"/>
                    <w:numPr>
                      <w:ilvl w:val="0"/>
                      <w:numId w:val="10"/>
                    </w:numPr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A809F9">
                    <w:rPr>
                      <w:rFonts w:ascii="Times New Roman" w:hAnsi="Times New Roman" w:cs="Times New Roman"/>
                      <w:b w:val="0"/>
                      <w:sz w:val="20"/>
                    </w:rPr>
                    <w:t>город Тверь, проспект Чайковского, у дома 86 (строка 31), раздел 2 Схема размещения объектов развозной торговли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6C85E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108 695,34 руб.</w:t>
                  </w:r>
                </w:p>
              </w:tc>
            </w:tr>
            <w:tr w:rsidR="00A809F9" w:rsidRPr="00A809F9" w14:paraId="790C4A86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2373A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A809F9">
                    <w:rPr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9A12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293 477,42 руб.</w:t>
                  </w:r>
                </w:p>
              </w:tc>
            </w:tr>
            <w:tr w:rsidR="00A809F9" w:rsidRPr="00A809F9" w14:paraId="45470759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3FA67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lang w:eastAsia="en-US"/>
                    </w:rPr>
                  </w:pPr>
                  <w:r w:rsidRPr="00A809F9">
                    <w:rPr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A3EC6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 xml:space="preserve">146 738,71 руб. </w:t>
                  </w:r>
                </w:p>
              </w:tc>
            </w:tr>
          </w:tbl>
          <w:p w14:paraId="50F1BDDE" w14:textId="77777777" w:rsidR="00A809F9" w:rsidRDefault="00A809F9" w:rsidP="00A809F9">
            <w:pPr>
              <w:rPr>
                <w:b/>
              </w:rPr>
            </w:pPr>
          </w:p>
          <w:p w14:paraId="725EE3F1" w14:textId="77777777" w:rsidR="0062076D" w:rsidRDefault="0062076D" w:rsidP="00A809F9">
            <w:pPr>
              <w:rPr>
                <w:b/>
              </w:rPr>
            </w:pPr>
          </w:p>
          <w:p w14:paraId="650DD400" w14:textId="74B9EC12" w:rsidR="00A809F9" w:rsidRPr="00A809F9" w:rsidRDefault="00A809F9" w:rsidP="00A809F9">
            <w:pPr>
              <w:rPr>
                <w:b/>
                <w:sz w:val="20"/>
                <w:szCs w:val="20"/>
              </w:rPr>
            </w:pPr>
            <w:proofErr w:type="gramStart"/>
            <w:r w:rsidRPr="00A809F9">
              <w:rPr>
                <w:b/>
                <w:sz w:val="20"/>
                <w:szCs w:val="20"/>
              </w:rPr>
              <w:lastRenderedPageBreak/>
              <w:t>ЛОТ № 2</w:t>
            </w:r>
            <w:proofErr w:type="gramEnd"/>
            <w:r w:rsidRPr="00A809F9">
              <w:rPr>
                <w:b/>
                <w:sz w:val="20"/>
                <w:szCs w:val="20"/>
              </w:rPr>
              <w:t xml:space="preserve"> </w:t>
            </w:r>
            <w:r w:rsidR="0062076D" w:rsidRPr="0062076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объектов развозной торговли по адресам</w:t>
            </w:r>
            <w:r w:rsidRPr="00A809F9">
              <w:rPr>
                <w:b/>
                <w:sz w:val="20"/>
                <w:szCs w:val="20"/>
              </w:rPr>
              <w:t>:</w:t>
            </w:r>
            <w:r w:rsidRPr="00A809F9">
              <w:rPr>
                <w:sz w:val="20"/>
                <w:szCs w:val="20"/>
              </w:rPr>
              <w:t xml:space="preserve"> </w:t>
            </w:r>
            <w:r w:rsidRPr="00A809F9">
              <w:rPr>
                <w:b/>
                <w:bCs/>
                <w:sz w:val="20"/>
                <w:szCs w:val="20"/>
              </w:rPr>
              <w:t xml:space="preserve">город Тверь, поселок ДРСУ-2, город Тверь, поселок Большие Перемерки </w:t>
            </w:r>
          </w:p>
          <w:p w14:paraId="5E8AE27C" w14:textId="77777777" w:rsidR="00A809F9" w:rsidRPr="001F3B7F" w:rsidRDefault="00A809F9" w:rsidP="00A809F9">
            <w:pPr>
              <w:jc w:val="both"/>
              <w:rPr>
                <w:b/>
              </w:rPr>
            </w:pPr>
          </w:p>
          <w:tbl>
            <w:tblPr>
              <w:tblW w:w="762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4111"/>
            </w:tblGrid>
            <w:tr w:rsidR="00A809F9" w:rsidRPr="00A809F9" w14:paraId="64E3F55E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F8AC3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Тип объекта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B1AE8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автолавка</w:t>
                  </w:r>
                </w:p>
              </w:tc>
            </w:tr>
            <w:tr w:rsidR="00A809F9" w:rsidRPr="00A809F9" w14:paraId="22CD641E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9151C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Площадь объекта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B8440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 xml:space="preserve">8 </w:t>
                  </w:r>
                  <w:proofErr w:type="spellStart"/>
                  <w:r w:rsidRPr="00A809F9">
                    <w:t>кв.м</w:t>
                  </w:r>
                  <w:proofErr w:type="spellEnd"/>
                </w:p>
              </w:tc>
            </w:tr>
            <w:tr w:rsidR="00A809F9" w:rsidRPr="00A809F9" w14:paraId="363F1A6A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696B6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 xml:space="preserve">Специализация объекта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0865B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продовольственные/непродовольственные товары</w:t>
                  </w:r>
                </w:p>
              </w:tc>
            </w:tr>
            <w:tr w:rsidR="00A809F9" w:rsidRPr="00A809F9" w14:paraId="4FCA1484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527AE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Требования к объекту</w:t>
                  </w:r>
                </w:p>
                <w:p w14:paraId="4B300983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9D57D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наличие свидетельства на одобрение данного типа транспортного средства, выданного аккредитованным органом по сертификации, с указанием его принадлежности под автолавку.</w:t>
                  </w:r>
                </w:p>
                <w:p w14:paraId="01AFC94C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 xml:space="preserve"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 </w:t>
                  </w:r>
                </w:p>
              </w:tc>
            </w:tr>
            <w:tr w:rsidR="00A809F9" w:rsidRPr="00A809F9" w14:paraId="2F89CBD9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1F6BB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32832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с момента заключения договора по 20.05.2027</w:t>
                  </w:r>
                </w:p>
              </w:tc>
            </w:tr>
            <w:tr w:rsidR="00A809F9" w:rsidRPr="00A809F9" w14:paraId="3937E612" w14:textId="77777777" w:rsidTr="00A809F9">
              <w:tc>
                <w:tcPr>
                  <w:tcW w:w="7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E1AD3" w14:textId="77777777" w:rsidR="00A809F9" w:rsidRPr="00A809F9" w:rsidRDefault="00A809F9" w:rsidP="00A809F9">
                  <w:pPr>
                    <w:rPr>
                      <w:sz w:val="20"/>
                      <w:szCs w:val="20"/>
                    </w:rPr>
                  </w:pPr>
                  <w:r w:rsidRPr="00A809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A809F9" w:rsidRPr="00A809F9" w14:paraId="0EBAC41A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1D14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4842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A809F9">
                    <w:t xml:space="preserve">Начальная (минимальная) цена Договора в год </w:t>
                  </w:r>
                </w:p>
              </w:tc>
            </w:tr>
            <w:tr w:rsidR="00A809F9" w:rsidRPr="00A809F9" w14:paraId="0E7D0571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1CECC" w14:textId="77777777" w:rsidR="00A809F9" w:rsidRPr="00A809F9" w:rsidRDefault="00A809F9" w:rsidP="00A809F9">
                  <w:pPr>
                    <w:pStyle w:val="1"/>
                    <w:numPr>
                      <w:ilvl w:val="0"/>
                      <w:numId w:val="6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город Тверь, поселок ДРСУ-2 (строка 27), раздел 2 Схема размещения объектов развозной торговли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7282D" w14:textId="22BE855B" w:rsidR="00A809F9" w:rsidRPr="00A809F9" w:rsidRDefault="00A809F9" w:rsidP="00CE112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A809F9">
                    <w:t>65 217,20 руб.</w:t>
                  </w:r>
                </w:p>
              </w:tc>
            </w:tr>
            <w:tr w:rsidR="00A809F9" w:rsidRPr="00A809F9" w14:paraId="0DE88427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67147" w14:textId="77777777" w:rsidR="00A809F9" w:rsidRPr="00A809F9" w:rsidRDefault="00A809F9" w:rsidP="00A809F9">
                  <w:pPr>
                    <w:pStyle w:val="ConsPlusTitle"/>
                    <w:numPr>
                      <w:ilvl w:val="0"/>
                      <w:numId w:val="6"/>
                    </w:numPr>
                    <w:jc w:val="both"/>
                    <w:outlineLvl w:val="1"/>
                    <w:rPr>
                      <w:b w:val="0"/>
                      <w:sz w:val="20"/>
                    </w:rPr>
                  </w:pPr>
                  <w:r w:rsidRPr="00A809F9">
                    <w:rPr>
                      <w:rFonts w:ascii="Times New Roman" w:hAnsi="Times New Roman" w:cs="Times New Roman"/>
                      <w:b w:val="0"/>
                      <w:sz w:val="20"/>
                    </w:rPr>
                    <w:t>город Тверь, поселок Большие Перемерки (строка 29), раздел 2 Схема размещения объектов развозной торговли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9798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54 347,67 руб.</w:t>
                  </w:r>
                </w:p>
              </w:tc>
            </w:tr>
            <w:tr w:rsidR="00A809F9" w:rsidRPr="00A809F9" w14:paraId="153235CB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28F28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A809F9">
                    <w:rPr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AB3D8" w14:textId="77777777" w:rsidR="00A809F9" w:rsidRPr="00A809F9" w:rsidRDefault="00A809F9" w:rsidP="00A809F9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119 564,87 руб.</w:t>
                  </w:r>
                </w:p>
              </w:tc>
            </w:tr>
            <w:tr w:rsidR="00A809F9" w:rsidRPr="00A809F9" w14:paraId="40DF6664" w14:textId="77777777" w:rsidTr="00A809F9"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7BCC" w14:textId="77777777" w:rsidR="00A809F9" w:rsidRPr="00A809F9" w:rsidRDefault="00A809F9" w:rsidP="00A809F9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lang w:eastAsia="en-US"/>
                    </w:rPr>
                  </w:pPr>
                  <w:r w:rsidRPr="00A809F9">
                    <w:rPr>
                      <w:lang w:eastAsia="en-US"/>
                    </w:rPr>
                    <w:lastRenderedPageBreak/>
                    <w:t>Размер обеспечения заявки (задаток)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80CCA" w14:textId="09436D2B" w:rsidR="00A809F9" w:rsidRPr="00A809F9" w:rsidRDefault="00A809F9" w:rsidP="00CE112A">
                  <w:pPr>
                    <w:jc w:val="both"/>
                    <w:rPr>
                      <w:sz w:val="20"/>
                      <w:szCs w:val="20"/>
                    </w:rPr>
                  </w:pPr>
                  <w:r w:rsidRPr="00A809F9">
                    <w:rPr>
                      <w:sz w:val="20"/>
                      <w:szCs w:val="20"/>
                    </w:rPr>
                    <w:t>59 782,4</w:t>
                  </w:r>
                  <w:r w:rsidR="00CE112A">
                    <w:rPr>
                      <w:sz w:val="20"/>
                      <w:szCs w:val="20"/>
                    </w:rPr>
                    <w:t>3</w:t>
                  </w:r>
                  <w:r w:rsidRPr="00A809F9">
                    <w:rPr>
                      <w:sz w:val="20"/>
                      <w:szCs w:val="20"/>
                    </w:rPr>
                    <w:t xml:space="preserve"> руб. </w:t>
                  </w:r>
                </w:p>
              </w:tc>
            </w:tr>
          </w:tbl>
          <w:p w14:paraId="3389C078" w14:textId="77777777" w:rsidR="009C4489" w:rsidRPr="005A4F9C" w:rsidRDefault="009C4489" w:rsidP="00182887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7D71BA4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DB48A4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5A4F9C">
              <w:rPr>
                <w:sz w:val="20"/>
                <w:szCs w:val="20"/>
              </w:rPr>
              <w:t>-2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A809F9">
              <w:rPr>
                <w:b/>
                <w:sz w:val="20"/>
                <w:szCs w:val="20"/>
              </w:rPr>
              <w:t>20</w:t>
            </w:r>
            <w:r w:rsidR="00ED65D8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614C7B81" w:rsidR="008D0DF2" w:rsidRPr="005D77FB" w:rsidRDefault="008D0DF2" w:rsidP="00DB48A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182887">
              <w:rPr>
                <w:sz w:val="20"/>
                <w:szCs w:val="20"/>
              </w:rPr>
              <w:t>лот</w:t>
            </w:r>
            <w:r w:rsidR="00DB48A4">
              <w:rPr>
                <w:sz w:val="20"/>
                <w:szCs w:val="20"/>
              </w:rPr>
              <w:t>ам</w:t>
            </w:r>
            <w:r w:rsidR="00182887">
              <w:rPr>
                <w:sz w:val="20"/>
                <w:szCs w:val="20"/>
              </w:rPr>
              <w:t xml:space="preserve"> №1</w:t>
            </w:r>
            <w:r w:rsidR="005A4F9C">
              <w:rPr>
                <w:sz w:val="20"/>
                <w:szCs w:val="20"/>
              </w:rPr>
              <w:t>-2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602E60">
              <w:rPr>
                <w:b/>
                <w:sz w:val="20"/>
                <w:szCs w:val="20"/>
              </w:rPr>
              <w:t>16</w:t>
            </w:r>
            <w:r w:rsidR="00ED65D8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1105857E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DB48A4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 xml:space="preserve"> №1</w:t>
            </w:r>
            <w:r w:rsidR="005A4F9C">
              <w:rPr>
                <w:b/>
                <w:bCs/>
                <w:sz w:val="20"/>
                <w:szCs w:val="20"/>
                <w:lang w:eastAsia="en-US"/>
              </w:rPr>
              <w:t>-2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751CF232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A809F9">
              <w:rPr>
                <w:b/>
                <w:bCs/>
                <w:sz w:val="20"/>
                <w:szCs w:val="20"/>
                <w:lang w:eastAsia="en-US"/>
              </w:rPr>
              <w:t>20</w:t>
            </w:r>
            <w:r w:rsidR="00ED65D8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14:paraId="2275B353" w14:textId="4FA27B87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602E60">
              <w:rPr>
                <w:b/>
                <w:sz w:val="20"/>
                <w:szCs w:val="20"/>
              </w:rPr>
              <w:t>20</w:t>
            </w:r>
            <w:r w:rsidR="00ED65D8">
              <w:rPr>
                <w:b/>
                <w:sz w:val="20"/>
                <w:szCs w:val="20"/>
              </w:rPr>
              <w:t>.04</w:t>
            </w:r>
            <w:r w:rsidR="0087456D">
              <w:rPr>
                <w:b/>
                <w:sz w:val="20"/>
                <w:szCs w:val="20"/>
              </w:rPr>
              <w:t>.2026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lastRenderedPageBreak/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0C507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/>
                <w:sz w:val="20"/>
                <w:szCs w:val="20"/>
              </w:rPr>
              <w:lastRenderedPageBreak/>
              <w:t>Вторая часть заявки на участие в аукционе должна содержать следующие документы и информацию:</w:t>
            </w:r>
          </w:p>
          <w:p w14:paraId="29A34CF9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lastRenderedPageBreak/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78CCC578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62C084B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EAFCDD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3) копии учредительных документов в действующей редакции (для юридического лица);</w:t>
            </w:r>
          </w:p>
          <w:p w14:paraId="7AB53266" w14:textId="38532A62" w:rsidR="00B06B8B" w:rsidRPr="008E2B01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</w:t>
            </w:r>
            <w:r w:rsidR="008E2B01">
              <w:rPr>
                <w:bCs/>
                <w:sz w:val="20"/>
                <w:szCs w:val="20"/>
              </w:rPr>
              <w:t>.</w:t>
            </w:r>
          </w:p>
        </w:tc>
      </w:tr>
      <w:tr w:rsidR="00F854FF" w:rsidRPr="008869D5" w14:paraId="64BE2F21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6AE9BB7D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DB48A4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5A4F9C">
              <w:rPr>
                <w:b/>
                <w:bCs/>
                <w:sz w:val="20"/>
                <w:szCs w:val="20"/>
                <w:lang w:eastAsia="en-US"/>
              </w:rPr>
              <w:t>-2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5C008D6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A809F9">
              <w:rPr>
                <w:b/>
                <w:bCs/>
                <w:sz w:val="20"/>
                <w:szCs w:val="20"/>
                <w:lang w:eastAsia="en-US"/>
              </w:rPr>
              <w:t>20</w:t>
            </w:r>
            <w:r w:rsidR="008E2B01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602E60">
              <w:rPr>
                <w:b/>
                <w:sz w:val="20"/>
                <w:szCs w:val="20"/>
              </w:rPr>
              <w:t>20</w:t>
            </w:r>
            <w:r w:rsidR="008E2B01">
              <w:rPr>
                <w:b/>
                <w:sz w:val="20"/>
                <w:szCs w:val="20"/>
              </w:rPr>
              <w:t>.04</w:t>
            </w:r>
            <w:r w:rsidR="0087456D">
              <w:rPr>
                <w:b/>
                <w:sz w:val="20"/>
                <w:szCs w:val="20"/>
              </w:rPr>
              <w:t>.2026</w:t>
            </w:r>
          </w:p>
        </w:tc>
      </w:tr>
      <w:tr w:rsidR="00F854FF" w:rsidRPr="008869D5" w14:paraId="1143980A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1338672F" w:rsidR="00BF5AA5" w:rsidRDefault="000A41BA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A41BA">
              <w:rPr>
                <w:rFonts w:eastAsiaTheme="minorHAnsi"/>
                <w:sz w:val="20"/>
                <w:szCs w:val="20"/>
                <w:lang w:eastAsia="en-US"/>
              </w:rPr>
              <w:t>Претендентом на участие в аукционе может быть любое юридическое лицо независимо от организационно-правовой формы, формы собственности, местонахождения, индивидуальный предприниматель или физическое лицо, не являющееся индивидуальным предпринимателем и применяющее специальный налоговый режим "Налог на профессиональный доход"</w:t>
            </w:r>
            <w:r w:rsidR="00BF5AA5" w:rsidRPr="00A539D7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индивидуального предпринимателя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0C705DC0" w:rsidR="00AE71AE" w:rsidRPr="00491920" w:rsidRDefault="0059104E" w:rsidP="00DB48A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</w:t>
            </w:r>
            <w:r w:rsidR="00DB48A4">
              <w:rPr>
                <w:bCs/>
                <w:sz w:val="20"/>
                <w:szCs w:val="20"/>
                <w:lang w:eastAsia="en-US"/>
              </w:rPr>
              <w:t>ам</w:t>
            </w:r>
            <w:r w:rsidR="0018288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5A4F9C">
              <w:rPr>
                <w:bCs/>
                <w:sz w:val="20"/>
                <w:szCs w:val="20"/>
                <w:lang w:eastAsia="en-US"/>
              </w:rPr>
              <w:t>-2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A809F9">
              <w:rPr>
                <w:b/>
                <w:bCs/>
                <w:sz w:val="20"/>
                <w:szCs w:val="20"/>
                <w:lang w:eastAsia="en-US"/>
              </w:rPr>
              <w:t>20</w:t>
            </w:r>
            <w:r w:rsidR="000A41BA">
              <w:rPr>
                <w:b/>
                <w:bCs/>
                <w:sz w:val="20"/>
                <w:szCs w:val="20"/>
                <w:lang w:eastAsia="en-US"/>
              </w:rPr>
              <w:t>.03.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602E60">
              <w:rPr>
                <w:b/>
                <w:bCs/>
                <w:sz w:val="20"/>
                <w:szCs w:val="20"/>
                <w:lang w:eastAsia="en-US"/>
              </w:rPr>
              <w:t>20</w:t>
            </w:r>
            <w:r w:rsidR="000A41BA">
              <w:rPr>
                <w:b/>
                <w:bCs/>
                <w:sz w:val="20"/>
                <w:szCs w:val="20"/>
                <w:lang w:eastAsia="en-US"/>
              </w:rPr>
              <w:t>.04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</w:tc>
      </w:tr>
      <w:tr w:rsidR="001C4FF2" w:rsidRPr="008869D5" w14:paraId="5BDEFE83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7644C721" w:rsidR="001C4FF2" w:rsidRPr="00EF2D67" w:rsidRDefault="00EF2D67" w:rsidP="00DB48A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DB48A4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5A4F9C">
              <w:rPr>
                <w:rFonts w:eastAsiaTheme="minorHAnsi"/>
                <w:bCs/>
                <w:sz w:val="20"/>
                <w:szCs w:val="20"/>
                <w:lang w:eastAsia="en-US"/>
              </w:rPr>
              <w:t>-2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A809F9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  <w:r w:rsidR="004F6510">
              <w:rPr>
                <w:rFonts w:eastAsiaTheme="minorHAnsi"/>
                <w:b/>
                <w:sz w:val="20"/>
                <w:szCs w:val="20"/>
                <w:lang w:eastAsia="en-US"/>
              </w:rPr>
              <w:t>.03.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02E60">
              <w:rPr>
                <w:rFonts w:eastAsiaTheme="minorHAnsi"/>
                <w:b/>
                <w:sz w:val="20"/>
                <w:szCs w:val="20"/>
                <w:lang w:eastAsia="en-US"/>
              </w:rPr>
              <w:t>16</w:t>
            </w:r>
            <w:r w:rsidR="004F6510">
              <w:rPr>
                <w:b/>
                <w:sz w:val="20"/>
                <w:szCs w:val="20"/>
              </w:rPr>
              <w:t>.04</w:t>
            </w:r>
            <w:r w:rsidR="0087456D">
              <w:rPr>
                <w:b/>
                <w:sz w:val="20"/>
                <w:szCs w:val="20"/>
              </w:rPr>
              <w:t>.2026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3661F345" w:rsidR="00AE71AE" w:rsidRPr="006B605C" w:rsidRDefault="00B01C39" w:rsidP="00DB48A4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DB48A4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  <w:r w:rsidR="005A4F9C">
              <w:rPr>
                <w:rFonts w:eastAsiaTheme="minorHAnsi"/>
                <w:sz w:val="20"/>
                <w:szCs w:val="20"/>
                <w:lang w:eastAsia="en-US"/>
              </w:rPr>
              <w:t>-2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02E60">
              <w:rPr>
                <w:rFonts w:eastAsiaTheme="minorHAnsi"/>
                <w:b/>
                <w:sz w:val="20"/>
                <w:szCs w:val="20"/>
                <w:lang w:eastAsia="en-US"/>
              </w:rPr>
              <w:t>21</w:t>
            </w:r>
            <w:r w:rsidR="000A41BA">
              <w:rPr>
                <w:rFonts w:eastAsiaTheme="minorHAnsi"/>
                <w:b/>
                <w:sz w:val="20"/>
                <w:szCs w:val="20"/>
                <w:lang w:eastAsia="en-US"/>
              </w:rPr>
              <w:t>.04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.2026</w:t>
            </w:r>
          </w:p>
        </w:tc>
      </w:tr>
      <w:tr w:rsidR="00C02D66" w:rsidRPr="008869D5" w14:paraId="267401CC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10516644" w:rsidR="00F854FF" w:rsidRPr="0070733C" w:rsidRDefault="00F555BB" w:rsidP="00DB48A4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</w:t>
            </w:r>
            <w:r w:rsidR="00DB48A4">
              <w:rPr>
                <w:bCs/>
                <w:sz w:val="20"/>
                <w:szCs w:val="20"/>
                <w:lang w:eastAsia="en-US"/>
              </w:rPr>
              <w:t>ам</w:t>
            </w:r>
            <w:r w:rsidR="0018288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5A4F9C">
              <w:rPr>
                <w:bCs/>
                <w:sz w:val="20"/>
                <w:szCs w:val="20"/>
                <w:lang w:eastAsia="en-US"/>
              </w:rPr>
              <w:t>-2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602E60">
              <w:rPr>
                <w:b/>
                <w:sz w:val="20"/>
                <w:szCs w:val="20"/>
              </w:rPr>
              <w:t>22</w:t>
            </w:r>
            <w:r w:rsidR="000A41BA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AA473D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4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35E6496F" w14:textId="2559A366" w:rsidR="007215DD" w:rsidRPr="009A5F77" w:rsidRDefault="007215DD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5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5336A2">
              <w:rPr>
                <w:rFonts w:eastAsiaTheme="minorHAnsi"/>
                <w:sz w:val="20"/>
                <w:szCs w:val="20"/>
                <w:lang w:eastAsia="en-US"/>
              </w:rPr>
              <w:t xml:space="preserve"> настоящей Информационной карты</w:t>
            </w:r>
          </w:p>
        </w:tc>
      </w:tr>
      <w:tr w:rsidR="00F75AD9" w:rsidRPr="008869D5" w14:paraId="2ADA4676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0A044E0D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602E60"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ED65D8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8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6125DF" w14:textId="77777777" w:rsidR="00AE62EC" w:rsidRPr="00AE62EC" w:rsidRDefault="00AE62EC" w:rsidP="00AE62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62EC">
              <w:rPr>
                <w:sz w:val="20"/>
                <w:szCs w:val="20"/>
              </w:rPr>
              <w:t xml:space="preserve">Плата по Договору (приложение №1 к документации об аукционе) рассчитывается в соответствии с аукционным предложением Победителя аукциона 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приказом департамента экономического развития администрации города Твери. Размер </w:t>
            </w:r>
            <w:r w:rsidRPr="00AE62EC">
              <w:rPr>
                <w:sz w:val="20"/>
                <w:szCs w:val="20"/>
              </w:rPr>
              <w:lastRenderedPageBreak/>
              <w:t>платы по Договору на следующий календарный год корректируется с учетом дефлятора, ежегодно применяемого Организатором аукциона на основании данных Территориального органа Федеральной службы государственной статистики по Тверской области.</w:t>
            </w:r>
          </w:p>
          <w:p w14:paraId="06F69051" w14:textId="77777777" w:rsidR="00AE62EC" w:rsidRPr="00AE62EC" w:rsidRDefault="00AE62EC" w:rsidP="00AE62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62EC">
              <w:rPr>
                <w:sz w:val="20"/>
                <w:szCs w:val="20"/>
              </w:rPr>
              <w:t>Плата по договору с учетом коэффициента-дефлятора вносится Победителем аукциона без оформления дополнительного соглашения к Договору.</w:t>
            </w:r>
          </w:p>
          <w:p w14:paraId="3C0B1EA9" w14:textId="77777777" w:rsidR="00AE62EC" w:rsidRPr="00AE62EC" w:rsidRDefault="00AE62EC" w:rsidP="00AE62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62EC">
              <w:rPr>
                <w:sz w:val="20"/>
                <w:szCs w:val="20"/>
              </w:rPr>
              <w:t>Плата по Договору осуществляется ежемесячно не позднее 20-го числа текущего месяца.</w:t>
            </w:r>
          </w:p>
          <w:p w14:paraId="447859E1" w14:textId="659EA644" w:rsidR="00AE62EC" w:rsidRDefault="00AE62EC" w:rsidP="00AE62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62EC">
              <w:rPr>
                <w:sz w:val="20"/>
                <w:szCs w:val="20"/>
              </w:rPr>
              <w:t>Плата по Договору вносится путем перечисления денежных средств на лицевой счет Организатора аукциона (реквизиты счета указаны в проекте Договора (приложение №1 к документации об аукционе)).</w:t>
            </w:r>
          </w:p>
          <w:p w14:paraId="12AD1B21" w14:textId="519B0E17" w:rsidR="00746A9E" w:rsidRPr="00B22DF9" w:rsidRDefault="002A2007" w:rsidP="00AE62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82887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</w:t>
            </w:r>
            <w:r w:rsidR="00D56568">
              <w:rPr>
                <w:rFonts w:eastAsiaTheme="minorHAnsi"/>
                <w:sz w:val="20"/>
                <w:szCs w:val="20"/>
                <w:lang w:eastAsia="en-US"/>
              </w:rPr>
              <w:t>нкте 3.3 Договора (Приложение №</w:t>
            </w:r>
            <w:r w:rsidR="00602E60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82887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729C423" w14:textId="77777777" w:rsidR="00D56568" w:rsidRDefault="00D56568" w:rsidP="00D56568">
      <w:pPr>
        <w:jc w:val="both"/>
        <w:rPr>
          <w:i/>
          <w:iCs/>
          <w:sz w:val="20"/>
          <w:szCs w:val="20"/>
          <w:lang w:eastAsia="en-US"/>
        </w:rPr>
      </w:pPr>
    </w:p>
    <w:p w14:paraId="23E9C006" w14:textId="77777777" w:rsidR="00D56568" w:rsidRPr="00AE2997" w:rsidRDefault="00D56568" w:rsidP="00D56568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59787454" w14:textId="77777777" w:rsidR="00D56568" w:rsidRPr="00AE2997" w:rsidRDefault="00D56568" w:rsidP="00D56568">
      <w:pPr>
        <w:jc w:val="both"/>
        <w:rPr>
          <w:sz w:val="20"/>
          <w:szCs w:val="20"/>
        </w:rPr>
      </w:pPr>
    </w:p>
    <w:p w14:paraId="75C73ADA" w14:textId="6A7D31F8" w:rsidR="00D56568" w:rsidRPr="00AE2997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 w:rsidR="00602E60">
        <w:rPr>
          <w:sz w:val="20"/>
          <w:szCs w:val="20"/>
        </w:rPr>
        <w:t>1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D56568">
      <w:pPr>
        <w:pStyle w:val="ConsPlusNormal"/>
        <w:rPr>
          <w:i/>
          <w:color w:val="000000"/>
          <w:sz w:val="20"/>
        </w:rPr>
      </w:pPr>
    </w:p>
    <w:sectPr w:rsidR="009B0D23" w:rsidSect="00D401A5">
      <w:footerReference w:type="default" r:id="rId1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02BF" w14:textId="77777777" w:rsidR="00FB438B" w:rsidRDefault="00FB438B" w:rsidP="0092668E">
      <w:r>
        <w:separator/>
      </w:r>
    </w:p>
  </w:endnote>
  <w:endnote w:type="continuationSeparator" w:id="0">
    <w:p w14:paraId="649946C8" w14:textId="77777777" w:rsidR="00FB438B" w:rsidRDefault="00FB438B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B48A4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6492" w14:textId="77777777" w:rsidR="00FB438B" w:rsidRDefault="00FB438B" w:rsidP="0092668E">
      <w:r>
        <w:separator/>
      </w:r>
    </w:p>
  </w:footnote>
  <w:footnote w:type="continuationSeparator" w:id="0">
    <w:p w14:paraId="22BB0412" w14:textId="77777777" w:rsidR="00FB438B" w:rsidRDefault="00FB438B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6812"/>
    <w:multiLevelType w:val="hybridMultilevel"/>
    <w:tmpl w:val="F270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6C5E"/>
    <w:multiLevelType w:val="hybridMultilevel"/>
    <w:tmpl w:val="41D614B4"/>
    <w:lvl w:ilvl="0" w:tplc="B39875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B59A3"/>
    <w:multiLevelType w:val="hybridMultilevel"/>
    <w:tmpl w:val="EA48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00736"/>
    <w:multiLevelType w:val="hybridMultilevel"/>
    <w:tmpl w:val="F2705B8C"/>
    <w:lvl w:ilvl="0" w:tplc="E0AE1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0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942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895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461860">
    <w:abstractNumId w:val="5"/>
  </w:num>
  <w:num w:numId="5" w16cid:durableId="2056851296">
    <w:abstractNumId w:val="6"/>
  </w:num>
  <w:num w:numId="6" w16cid:durableId="774178368">
    <w:abstractNumId w:val="8"/>
  </w:num>
  <w:num w:numId="7" w16cid:durableId="1182167124">
    <w:abstractNumId w:val="4"/>
  </w:num>
  <w:num w:numId="8" w16cid:durableId="1005790719">
    <w:abstractNumId w:val="2"/>
  </w:num>
  <w:num w:numId="9" w16cid:durableId="788205878">
    <w:abstractNumId w:val="0"/>
  </w:num>
  <w:num w:numId="10" w16cid:durableId="1766200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3514"/>
    <w:rsid w:val="000355A2"/>
    <w:rsid w:val="000367AF"/>
    <w:rsid w:val="00040B81"/>
    <w:rsid w:val="00050385"/>
    <w:rsid w:val="00054294"/>
    <w:rsid w:val="00055C45"/>
    <w:rsid w:val="00057EAE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A41BA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17B2A"/>
    <w:rsid w:val="00120D9D"/>
    <w:rsid w:val="001247F3"/>
    <w:rsid w:val="00131036"/>
    <w:rsid w:val="00131152"/>
    <w:rsid w:val="001318D5"/>
    <w:rsid w:val="00135725"/>
    <w:rsid w:val="00140180"/>
    <w:rsid w:val="00142372"/>
    <w:rsid w:val="00143A18"/>
    <w:rsid w:val="00152A95"/>
    <w:rsid w:val="00163420"/>
    <w:rsid w:val="00164A21"/>
    <w:rsid w:val="00170A80"/>
    <w:rsid w:val="00172A6F"/>
    <w:rsid w:val="00176CBD"/>
    <w:rsid w:val="001808C6"/>
    <w:rsid w:val="00182887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AB4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3FA6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29A4"/>
    <w:rsid w:val="002970CC"/>
    <w:rsid w:val="002A2007"/>
    <w:rsid w:val="002A3D40"/>
    <w:rsid w:val="002A4746"/>
    <w:rsid w:val="002A6980"/>
    <w:rsid w:val="002B1EC6"/>
    <w:rsid w:val="002B2256"/>
    <w:rsid w:val="002B730B"/>
    <w:rsid w:val="002C0A1D"/>
    <w:rsid w:val="002C5A4A"/>
    <w:rsid w:val="002D1EC4"/>
    <w:rsid w:val="002D4257"/>
    <w:rsid w:val="002D47B8"/>
    <w:rsid w:val="002D52F6"/>
    <w:rsid w:val="002D5576"/>
    <w:rsid w:val="002E083F"/>
    <w:rsid w:val="002E18F7"/>
    <w:rsid w:val="002F08B9"/>
    <w:rsid w:val="002F1B9D"/>
    <w:rsid w:val="002F3BC3"/>
    <w:rsid w:val="002F46E8"/>
    <w:rsid w:val="00301047"/>
    <w:rsid w:val="00304323"/>
    <w:rsid w:val="00304CB0"/>
    <w:rsid w:val="00305DB1"/>
    <w:rsid w:val="00306802"/>
    <w:rsid w:val="00306D4F"/>
    <w:rsid w:val="00311395"/>
    <w:rsid w:val="00316EAF"/>
    <w:rsid w:val="00322C7B"/>
    <w:rsid w:val="003250F0"/>
    <w:rsid w:val="0032521C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351F"/>
    <w:rsid w:val="00372620"/>
    <w:rsid w:val="0037546D"/>
    <w:rsid w:val="00376279"/>
    <w:rsid w:val="0038132F"/>
    <w:rsid w:val="003831C7"/>
    <w:rsid w:val="003848BC"/>
    <w:rsid w:val="003908BA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0A3F"/>
    <w:rsid w:val="004A41F1"/>
    <w:rsid w:val="004A53EA"/>
    <w:rsid w:val="004A683B"/>
    <w:rsid w:val="004B1CF6"/>
    <w:rsid w:val="004B28E6"/>
    <w:rsid w:val="004C097B"/>
    <w:rsid w:val="004C1716"/>
    <w:rsid w:val="004C24C3"/>
    <w:rsid w:val="004D092D"/>
    <w:rsid w:val="004D27FD"/>
    <w:rsid w:val="004D400A"/>
    <w:rsid w:val="004E1920"/>
    <w:rsid w:val="004E454A"/>
    <w:rsid w:val="004E4619"/>
    <w:rsid w:val="004E5828"/>
    <w:rsid w:val="004F0624"/>
    <w:rsid w:val="004F63F3"/>
    <w:rsid w:val="004F6510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07B"/>
    <w:rsid w:val="005336A2"/>
    <w:rsid w:val="0053377D"/>
    <w:rsid w:val="00533B4E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3319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4F9C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122A"/>
    <w:rsid w:val="006020D1"/>
    <w:rsid w:val="00602E60"/>
    <w:rsid w:val="00603608"/>
    <w:rsid w:val="006103FF"/>
    <w:rsid w:val="00610B7E"/>
    <w:rsid w:val="00613052"/>
    <w:rsid w:val="00613E23"/>
    <w:rsid w:val="0061710C"/>
    <w:rsid w:val="0062076D"/>
    <w:rsid w:val="00620A6C"/>
    <w:rsid w:val="0062195E"/>
    <w:rsid w:val="00623ABD"/>
    <w:rsid w:val="00625851"/>
    <w:rsid w:val="00635F85"/>
    <w:rsid w:val="006378DE"/>
    <w:rsid w:val="00637981"/>
    <w:rsid w:val="00637E0D"/>
    <w:rsid w:val="006404B5"/>
    <w:rsid w:val="00653554"/>
    <w:rsid w:val="00654345"/>
    <w:rsid w:val="0065609E"/>
    <w:rsid w:val="00657EDE"/>
    <w:rsid w:val="00657FF0"/>
    <w:rsid w:val="006607E4"/>
    <w:rsid w:val="00666706"/>
    <w:rsid w:val="00666DF3"/>
    <w:rsid w:val="006701C4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4EF4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730A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1F4C"/>
    <w:rsid w:val="00744436"/>
    <w:rsid w:val="00746000"/>
    <w:rsid w:val="0074604F"/>
    <w:rsid w:val="00746848"/>
    <w:rsid w:val="00746A9E"/>
    <w:rsid w:val="00750178"/>
    <w:rsid w:val="00751449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3315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5B9F"/>
    <w:rsid w:val="007A6D18"/>
    <w:rsid w:val="007A7493"/>
    <w:rsid w:val="007B3A94"/>
    <w:rsid w:val="007C18E1"/>
    <w:rsid w:val="007C262A"/>
    <w:rsid w:val="007C30DE"/>
    <w:rsid w:val="007C41BA"/>
    <w:rsid w:val="007D0400"/>
    <w:rsid w:val="007D3594"/>
    <w:rsid w:val="007D4717"/>
    <w:rsid w:val="007D4E33"/>
    <w:rsid w:val="007D4E95"/>
    <w:rsid w:val="007D7B33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1757"/>
    <w:rsid w:val="00832B34"/>
    <w:rsid w:val="00834221"/>
    <w:rsid w:val="008354E5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7456D"/>
    <w:rsid w:val="00885E7C"/>
    <w:rsid w:val="008869D5"/>
    <w:rsid w:val="008911B0"/>
    <w:rsid w:val="0089231B"/>
    <w:rsid w:val="00892DB2"/>
    <w:rsid w:val="00893866"/>
    <w:rsid w:val="00894F19"/>
    <w:rsid w:val="0089731C"/>
    <w:rsid w:val="00897424"/>
    <w:rsid w:val="00897F3A"/>
    <w:rsid w:val="008A1D54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2B01"/>
    <w:rsid w:val="008E39EC"/>
    <w:rsid w:val="008E3DD9"/>
    <w:rsid w:val="008E5B7C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1307"/>
    <w:rsid w:val="00A11233"/>
    <w:rsid w:val="00A145B0"/>
    <w:rsid w:val="00A1551A"/>
    <w:rsid w:val="00A16C73"/>
    <w:rsid w:val="00A16CF1"/>
    <w:rsid w:val="00A21F1C"/>
    <w:rsid w:val="00A240C2"/>
    <w:rsid w:val="00A33758"/>
    <w:rsid w:val="00A34ACB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09F9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1290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62EC"/>
    <w:rsid w:val="00AE71AE"/>
    <w:rsid w:val="00AF0417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17AFD"/>
    <w:rsid w:val="00B20BA0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1ED1"/>
    <w:rsid w:val="00B63AD0"/>
    <w:rsid w:val="00B6483E"/>
    <w:rsid w:val="00B64BED"/>
    <w:rsid w:val="00B65194"/>
    <w:rsid w:val="00B65753"/>
    <w:rsid w:val="00B83761"/>
    <w:rsid w:val="00B858F9"/>
    <w:rsid w:val="00B9449A"/>
    <w:rsid w:val="00B951FC"/>
    <w:rsid w:val="00B956DE"/>
    <w:rsid w:val="00B96494"/>
    <w:rsid w:val="00BA0F23"/>
    <w:rsid w:val="00BA13B8"/>
    <w:rsid w:val="00BA3111"/>
    <w:rsid w:val="00BA3B0B"/>
    <w:rsid w:val="00BA67DC"/>
    <w:rsid w:val="00BA7ABB"/>
    <w:rsid w:val="00BB03E6"/>
    <w:rsid w:val="00BB0D14"/>
    <w:rsid w:val="00BC2FBD"/>
    <w:rsid w:val="00BC6878"/>
    <w:rsid w:val="00BD1BFA"/>
    <w:rsid w:val="00BD1CC5"/>
    <w:rsid w:val="00BD2D0B"/>
    <w:rsid w:val="00BD397D"/>
    <w:rsid w:val="00BD40BA"/>
    <w:rsid w:val="00BD587B"/>
    <w:rsid w:val="00BF0A5E"/>
    <w:rsid w:val="00BF1618"/>
    <w:rsid w:val="00BF2DDA"/>
    <w:rsid w:val="00BF5AA5"/>
    <w:rsid w:val="00C02D66"/>
    <w:rsid w:val="00C05281"/>
    <w:rsid w:val="00C06AAE"/>
    <w:rsid w:val="00C162AB"/>
    <w:rsid w:val="00C16F92"/>
    <w:rsid w:val="00C171F5"/>
    <w:rsid w:val="00C17B57"/>
    <w:rsid w:val="00C2393D"/>
    <w:rsid w:val="00C308AF"/>
    <w:rsid w:val="00C3460F"/>
    <w:rsid w:val="00C361EC"/>
    <w:rsid w:val="00C37CE6"/>
    <w:rsid w:val="00C429E5"/>
    <w:rsid w:val="00C5203F"/>
    <w:rsid w:val="00C55537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0D60"/>
    <w:rsid w:val="00C84670"/>
    <w:rsid w:val="00C8646A"/>
    <w:rsid w:val="00C92DEB"/>
    <w:rsid w:val="00C936FF"/>
    <w:rsid w:val="00C954EA"/>
    <w:rsid w:val="00C97D6F"/>
    <w:rsid w:val="00CA1BA8"/>
    <w:rsid w:val="00CA1C64"/>
    <w:rsid w:val="00CA39D7"/>
    <w:rsid w:val="00CA4043"/>
    <w:rsid w:val="00CA59EC"/>
    <w:rsid w:val="00CB11EB"/>
    <w:rsid w:val="00CB1605"/>
    <w:rsid w:val="00CB38E0"/>
    <w:rsid w:val="00CB3E3C"/>
    <w:rsid w:val="00CC52BE"/>
    <w:rsid w:val="00CC6134"/>
    <w:rsid w:val="00CD4CF4"/>
    <w:rsid w:val="00CE112A"/>
    <w:rsid w:val="00CE2D01"/>
    <w:rsid w:val="00CE585D"/>
    <w:rsid w:val="00CF0C01"/>
    <w:rsid w:val="00CF5584"/>
    <w:rsid w:val="00D00775"/>
    <w:rsid w:val="00D04655"/>
    <w:rsid w:val="00D04F8A"/>
    <w:rsid w:val="00D05936"/>
    <w:rsid w:val="00D06896"/>
    <w:rsid w:val="00D0698D"/>
    <w:rsid w:val="00D06AC3"/>
    <w:rsid w:val="00D073AF"/>
    <w:rsid w:val="00D1018C"/>
    <w:rsid w:val="00D11770"/>
    <w:rsid w:val="00D126AA"/>
    <w:rsid w:val="00D13124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6568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9360D"/>
    <w:rsid w:val="00DA5235"/>
    <w:rsid w:val="00DA6D0F"/>
    <w:rsid w:val="00DB1CB3"/>
    <w:rsid w:val="00DB2180"/>
    <w:rsid w:val="00DB27BC"/>
    <w:rsid w:val="00DB2A24"/>
    <w:rsid w:val="00DB48A4"/>
    <w:rsid w:val="00DB61EB"/>
    <w:rsid w:val="00DC0485"/>
    <w:rsid w:val="00DC4545"/>
    <w:rsid w:val="00DC541B"/>
    <w:rsid w:val="00DE053E"/>
    <w:rsid w:val="00DE7BBF"/>
    <w:rsid w:val="00DF00C4"/>
    <w:rsid w:val="00DF0BAB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22E2"/>
    <w:rsid w:val="00E432E1"/>
    <w:rsid w:val="00E45977"/>
    <w:rsid w:val="00E50CA6"/>
    <w:rsid w:val="00E52003"/>
    <w:rsid w:val="00E529F5"/>
    <w:rsid w:val="00E53B9A"/>
    <w:rsid w:val="00E54D20"/>
    <w:rsid w:val="00E63196"/>
    <w:rsid w:val="00E65939"/>
    <w:rsid w:val="00E65E6B"/>
    <w:rsid w:val="00E66749"/>
    <w:rsid w:val="00E66E68"/>
    <w:rsid w:val="00E74650"/>
    <w:rsid w:val="00E74BB2"/>
    <w:rsid w:val="00E751CB"/>
    <w:rsid w:val="00E75507"/>
    <w:rsid w:val="00E8086A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D65D8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26B0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20C6"/>
    <w:rsid w:val="00F555BB"/>
    <w:rsid w:val="00F571AC"/>
    <w:rsid w:val="00F604D5"/>
    <w:rsid w:val="00F63D8D"/>
    <w:rsid w:val="00F649ED"/>
    <w:rsid w:val="00F67206"/>
    <w:rsid w:val="00F72414"/>
    <w:rsid w:val="00F75AD9"/>
    <w:rsid w:val="00F80F67"/>
    <w:rsid w:val="00F83CAB"/>
    <w:rsid w:val="00F854FF"/>
    <w:rsid w:val="00F902FD"/>
    <w:rsid w:val="00F925E2"/>
    <w:rsid w:val="00F93505"/>
    <w:rsid w:val="00F957B6"/>
    <w:rsid w:val="00F96A2E"/>
    <w:rsid w:val="00FA2E9C"/>
    <w:rsid w:val="00FA2F5E"/>
    <w:rsid w:val="00FB1697"/>
    <w:rsid w:val="00FB438B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6A8244C51634B8B78890C3CD8255A145A5D0178F2A29FFB574AF7E37B08300BBAA1CE842F5D494F1D505AA31D1h3r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0" Type="http://schemas.openxmlformats.org/officeDocument/2006/relationships/hyperlink" Target="mailto:zakupki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10</cp:revision>
  <cp:lastPrinted>2022-09-13T13:49:00Z</cp:lastPrinted>
  <dcterms:created xsi:type="dcterms:W3CDTF">2026-03-17T15:10:00Z</dcterms:created>
  <dcterms:modified xsi:type="dcterms:W3CDTF">2026-03-20T07:23:00Z</dcterms:modified>
</cp:coreProperties>
</file>